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B267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218E6FD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盐类的水解</w:t>
      </w:r>
    </w:p>
    <w:p w14:paraId="7065DDE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盐类水解的影响因素及应用</w:t>
      </w:r>
    </w:p>
    <w:p w14:paraId="0EFDD8D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B75146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一、盐类水解的影响因素</w:t>
      </w:r>
    </w:p>
    <w:p w14:paraId="159CEB9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4006EBD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4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4539762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6491F4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4E4BFD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543C5D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2ACE3E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683CBED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487690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77F6E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3EBB18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2AA59B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2E50AE5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49B1A9A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7D72B8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51A9B9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58CF05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919D5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0F2641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0F6A04E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3FC5C9BA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21D8B3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116CC69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150A98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27C8E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74C8B4E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714B72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767F1A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51941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34E5F3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0E1CF5E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52D00EE7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12D894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19D150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3C342B1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0813037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5C782C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095A3A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658F0E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38AFF23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3865FC6E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B91D1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640F43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50EBEF6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二、盐类水解的应用</w:t>
      </w:r>
    </w:p>
    <w:p w14:paraId="064B86C7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1．某些物质的水溶液的配制</w:t>
      </w:r>
    </w:p>
    <w:p w14:paraId="1A7E43A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配制FeCl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的水溶液，FeCl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溶于水后发生如下水解反应：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m:oMath>
        <m:r>
          <m:rPr>
            <m:sty m:val="p"/>
          </m:rPr>
          <w:rPr>
            <w:rFonts w:ascii="Cambria Math" w:hAnsi="Cambria Math" w:eastAsia="宋体" w:cs="Times New Roman"/>
            <w:szCs w:val="24"/>
            <w:u w:val="single"/>
          </w:rPr>
          <m:t>⇌</m:t>
        </m:r>
      </m:oMath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，因Fe(OH)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的生成而使溶液变浑浊，通常先将FeCl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溶于浓盐酸中，可抑制Fe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的水解，使溶液保持澄清，再加水稀释至所需浓度。</w:t>
      </w:r>
    </w:p>
    <w:p w14:paraId="78F642D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若配制强碱弱酸盐的水溶液，应加入少量强碱，抑制弱酸根离子的水解。如配制硫化钠的水溶液时，应先滴入几滴氢氧化钠溶液，再加水稀释至所需浓度。</w:t>
      </w:r>
    </w:p>
    <w:p w14:paraId="1A6E545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2．某些化肥的施用</w:t>
      </w:r>
    </w:p>
    <w:p w14:paraId="15A7918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草木灰不能与铵态氮肥混用，因草木灰的主要成分为K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，溶于水时CO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＋OH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，生成的OH</w:t>
      </w:r>
      <w:r>
        <w:rPr>
          <w:rFonts w:ascii="Times New Roman" w:hAnsi="Times New Roman" w:eastAsia="宋体" w:cs="Times New Roman"/>
          <w:szCs w:val="24"/>
          <w:vertAlign w:val="superscript"/>
        </w:rPr>
        <w:t>－</w:t>
      </w:r>
      <w:r>
        <w:rPr>
          <w:rFonts w:ascii="Times New Roman" w:hAnsi="Times New Roman" w:eastAsia="宋体" w:cs="Times New Roman"/>
          <w:szCs w:val="24"/>
        </w:rPr>
        <w:t>与NH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发生反应：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</w:t>
      </w:r>
      <w:r>
        <w:rPr>
          <w:rFonts w:hint="eastAsia" w:ascii="Times New Roman" w:hAnsi="Times New Roman" w:eastAsia="宋体" w:cs="Times New Roman"/>
          <w:spacing w:val="-16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，使氮肥肥效降低。</w:t>
      </w:r>
    </w:p>
    <w:p w14:paraId="58860FA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3．利用盐的水解去除杂质</w:t>
      </w:r>
    </w:p>
    <w:p w14:paraId="2A126071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如两种盐的水解程度不一样，可利用水解反应将一种盐转化为氢氧化物沉淀而除去。</w:t>
      </w:r>
    </w:p>
    <w:p w14:paraId="1E0A976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例如：MgCl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溶液中混有少量FeCl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杂质，因Fe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</w:t>
      </w:r>
      <w:r>
        <w:rPr>
          <w:rFonts w:ascii="Cambria Math" w:hAnsi="Cambria Math" w:eastAsia="宋体" w:cs="Cambria Math"/>
          <w:b/>
          <w:bCs/>
          <w:szCs w:val="21"/>
        </w:rPr>
        <w:t>⇌</w:t>
      </w:r>
      <w:r>
        <w:rPr>
          <w:rFonts w:ascii="Times New Roman" w:hAnsi="Times New Roman" w:eastAsia="宋体" w:cs="Times New Roman"/>
          <w:szCs w:val="24"/>
        </w:rPr>
        <w:t>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＋3H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水解程度比Mg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水解程度大，可加入MgO或Mg(OH)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、MgCO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等，使Fe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的水解平衡正向移动，生成Fe(OH)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沉淀而除去Fe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176042A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4．明矾等物质净水的原理</w:t>
      </w:r>
    </w:p>
    <w:p w14:paraId="62E91B5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明矾在水中发生电离：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pacing w:val="-16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4"/>
          <w:u w:val="single"/>
          <w:eastAsianLayout w:id="4" w:combine="1"/>
        </w:rPr>
        <w:t xml:space="preserve">2- </w:t>
      </w:r>
      <w:r>
        <w:rPr>
          <w:rFonts w:hint="eastAsia" w:ascii="Times New Roman" w:hAnsi="Times New Roman" w:eastAsia="宋体" w:cs="Times New Roman"/>
          <w:szCs w:val="24"/>
          <w:u w:val="single"/>
          <w:eastAsianLayout w:id="5" w:combine="1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，其中Al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发生水解：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</w:t>
      </w:r>
      <w:r>
        <w:rPr>
          <w:rFonts w:hint="eastAsia" w:ascii="Cambria Math" w:hAnsi="Cambria Math" w:eastAsia="宋体" w:cs="Cambria Math"/>
          <w:b/>
          <w:bCs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bscript"/>
        </w:rPr>
        <w:t xml:space="preserve">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，生成的Al(OH)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胶体有较强吸附性，可吸附杂质下沉，以达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到净水的目的。FeCl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也能净水，原理与明矾相同。</w:t>
      </w:r>
    </w:p>
    <w:p w14:paraId="23CBA8D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5．泡沫灭火器灭火的原理</w:t>
      </w:r>
    </w:p>
    <w:p w14:paraId="5717E7DD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泡沫灭火器内装饱和的Al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(SO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溶液和NaHCO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溶液，它们分装在不同的容器中。当两溶液混合后，发生相互促进的水解反应：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  <w:vertAlign w:val="superscript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pacing w:val="-16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4"/>
        </w:rPr>
        <w:t>。灭火器内压强增大，CO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、H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O、Al(OH)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一起喷出覆盖在着火物质上使火焰熄灭。</w:t>
      </w:r>
    </w:p>
    <w:p w14:paraId="4B26DAE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6．作除锈剂</w:t>
      </w:r>
    </w:p>
    <w:p w14:paraId="2CA7E28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NH</w:t>
      </w:r>
      <w:r>
        <w:rPr>
          <w:rFonts w:ascii="Times New Roman" w:hAnsi="Times New Roman" w:eastAsia="宋体" w:cs="Times New Roman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Cs w:val="24"/>
        </w:rPr>
        <w:t>Cl、ZnCl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溶液因NH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zCs w:val="24"/>
        </w:rPr>
        <w:t>、Zn</w:t>
      </w:r>
      <w:r>
        <w:rPr>
          <w:rFonts w:ascii="Times New Roman" w:hAnsi="Times New Roman" w:eastAsia="宋体" w:cs="Times New Roman"/>
          <w:szCs w:val="24"/>
          <w:vertAlign w:val="superscript"/>
        </w:rPr>
        <w:t>2＋</w:t>
      </w:r>
      <w:r>
        <w:rPr>
          <w:rFonts w:ascii="Times New Roman" w:hAnsi="Times New Roman" w:eastAsia="宋体" w:cs="Times New Roman"/>
          <w:szCs w:val="24"/>
        </w:rPr>
        <w:t>水解而显酸性，金属表面的氧化膜可与H</w:t>
      </w:r>
      <w:r>
        <w:rPr>
          <w:rFonts w:ascii="Times New Roman" w:hAnsi="Times New Roman" w:eastAsia="宋体" w:cs="Times New Roman"/>
          <w:szCs w:val="24"/>
          <w:vertAlign w:val="superscript"/>
        </w:rPr>
        <w:t>＋</w:t>
      </w:r>
      <w:r>
        <w:rPr>
          <w:rFonts w:ascii="Times New Roman" w:hAnsi="Times New Roman" w:eastAsia="宋体" w:cs="Times New Roman"/>
          <w:szCs w:val="24"/>
        </w:rPr>
        <w:t>反应，因此均可作焊接时的除锈剂。</w:t>
      </w:r>
    </w:p>
    <w:p w14:paraId="3FAA0107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7．判断离子能否大量共存</w:t>
      </w:r>
    </w:p>
    <w:p w14:paraId="77F634EB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相互促进程度很大、水解很彻底的离子不能大量共存，如Al</w:t>
      </w:r>
      <w:r>
        <w:rPr>
          <w:rFonts w:ascii="Times New Roman" w:hAnsi="Times New Roman" w:eastAsia="宋体" w:cs="Times New Roman"/>
          <w:szCs w:val="24"/>
          <w:vertAlign w:val="superscript"/>
        </w:rPr>
        <w:t>3＋</w:t>
      </w:r>
      <w:r>
        <w:rPr>
          <w:rFonts w:ascii="Times New Roman" w:hAnsi="Times New Roman" w:eastAsia="宋体" w:cs="Times New Roman"/>
          <w:szCs w:val="24"/>
        </w:rPr>
        <w:t>＋3HCO</w:t>
      </w:r>
      <w:r>
        <w:rPr>
          <w:rFonts w:ascii="Times New Roman" w:hAnsi="Times New Roman" w:eastAsia="宋体" w:cs="Times New Roman"/>
          <w:szCs w:val="24"/>
        </w:rPr>
        <w:fldChar w:fldCharType="begin"/>
      </w:r>
      <w:r>
        <w:rPr>
          <w:rFonts w:ascii="Times New Roman" w:hAnsi="Times New Roman" w:eastAsia="宋体" w:cs="Times New Roman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4"/>
        </w:rPr>
        <w:instrText xml:space="preserve">,</w:instrText>
      </w:r>
      <w:r>
        <w:rPr>
          <w:rFonts w:ascii="Times New Roman" w:hAnsi="Times New Roman" w:eastAsia="宋体" w:cs="Times New Roman"/>
          <w:szCs w:val="24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4"/>
        </w:rPr>
        <w:instrText xml:space="preserve">)</w:instrText>
      </w:r>
      <w:r>
        <w:rPr>
          <w:rFonts w:ascii="Times New Roman" w:hAnsi="Times New Roman" w:eastAsia="宋体" w:cs="Times New Roman"/>
          <w:szCs w:val="24"/>
        </w:rPr>
        <w:fldChar w:fldCharType="end"/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=Al(OH)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↓＋3CO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↑，这类离子组合常见的有</w:t>
      </w:r>
    </w:p>
    <w:p w14:paraId="3B59113C">
      <w:pPr>
        <w:snapToGrid w:val="0"/>
        <w:spacing w:line="360" w:lineRule="auto"/>
        <w:ind w:firstLine="420" w:firstLineChars="20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114300" distR="114300">
            <wp:extent cx="3353435" cy="1106170"/>
            <wp:effectExtent l="0" t="0" r="12065" b="11430"/>
            <wp:docPr id="3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6F9FF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  <w:lang w:val="pt-BR"/>
        </w:rPr>
      </w:pPr>
      <w:r>
        <w:rPr>
          <w:rFonts w:ascii="Times New Roman" w:hAnsi="Times New Roman" w:eastAsia="宋体" w:cs="Times New Roman"/>
          <w:szCs w:val="24"/>
        </w:rPr>
        <w:t>这类相互促进水解且几乎进行完全的水解方程式的书写要用“</w:t>
      </w:r>
      <w:r>
        <w:rPr>
          <w:rFonts w:ascii="Times New Roman" w:hAnsi="Times New Roman" w:eastAsia="宋体" w:cs="Times New Roman"/>
          <w:spacing w:val="-16"/>
          <w:szCs w:val="24"/>
        </w:rPr>
        <w:t>==</w:t>
      </w:r>
      <w:r>
        <w:rPr>
          <w:rFonts w:ascii="Times New Roman" w:hAnsi="Times New Roman" w:eastAsia="宋体" w:cs="Times New Roman"/>
          <w:szCs w:val="24"/>
        </w:rPr>
        <w:t>=”且标“↑”“↓”。例如</w:t>
      </w:r>
      <w:r>
        <w:rPr>
          <w:rFonts w:ascii="Times New Roman" w:hAnsi="Times New Roman" w:eastAsia="宋体" w:cs="Times New Roman"/>
          <w:szCs w:val="24"/>
          <w:lang w:val="pt-BR"/>
        </w:rPr>
        <w:t>2Al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3＋</w:t>
      </w:r>
      <w:r>
        <w:rPr>
          <w:rFonts w:ascii="Times New Roman" w:hAnsi="Times New Roman" w:eastAsia="宋体" w:cs="Times New Roman"/>
          <w:szCs w:val="24"/>
          <w:lang w:val="pt-BR"/>
        </w:rPr>
        <w:t>＋3S</w:t>
      </w:r>
      <w:r>
        <w:rPr>
          <w:rFonts w:ascii="Times New Roman" w:hAnsi="Times New Roman" w:eastAsia="宋体" w:cs="Times New Roman"/>
          <w:szCs w:val="24"/>
          <w:vertAlign w:val="superscript"/>
          <w:lang w:val="pt-BR"/>
        </w:rPr>
        <w:t>2－</w:t>
      </w:r>
      <w:r>
        <w:rPr>
          <w:rFonts w:ascii="Times New Roman" w:hAnsi="Times New Roman" w:eastAsia="宋体" w:cs="Times New Roman"/>
          <w:szCs w:val="24"/>
          <w:lang w:val="pt-BR"/>
        </w:rPr>
        <w:t>＋6H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O</w:t>
      </w:r>
      <w:r>
        <w:rPr>
          <w:rFonts w:ascii="Times New Roman" w:hAnsi="Times New Roman" w:eastAsia="宋体" w:cs="Times New Roman"/>
          <w:spacing w:val="-16"/>
          <w:szCs w:val="24"/>
          <w:lang w:val="pt-BR"/>
        </w:rPr>
        <w:t>==</w:t>
      </w:r>
      <w:r>
        <w:rPr>
          <w:rFonts w:ascii="Times New Roman" w:hAnsi="Times New Roman" w:eastAsia="宋体" w:cs="Times New Roman"/>
          <w:szCs w:val="24"/>
          <w:lang w:val="pt-BR"/>
        </w:rPr>
        <w:t>=2Al(OH)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3</w:t>
      </w:r>
      <w:r>
        <w:rPr>
          <w:rFonts w:ascii="Times New Roman" w:hAnsi="Times New Roman" w:eastAsia="宋体" w:cs="Times New Roman"/>
          <w:szCs w:val="24"/>
          <w:lang w:val="pt-BR"/>
        </w:rPr>
        <w:t>↓＋3H</w:t>
      </w:r>
      <w:r>
        <w:rPr>
          <w:rFonts w:ascii="Times New Roman" w:hAnsi="Times New Roman" w:eastAsia="宋体" w:cs="Times New Roman"/>
          <w:szCs w:val="24"/>
          <w:vertAlign w:val="subscript"/>
          <w:lang w:val="pt-BR"/>
        </w:rPr>
        <w:t>2</w:t>
      </w:r>
      <w:r>
        <w:rPr>
          <w:rFonts w:ascii="Times New Roman" w:hAnsi="Times New Roman" w:eastAsia="宋体" w:cs="Times New Roman"/>
          <w:szCs w:val="24"/>
          <w:lang w:val="pt-BR"/>
        </w:rPr>
        <w:t>S↑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37E1854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三、溶液中离子浓度大小的比较</w:t>
      </w:r>
    </w:p>
    <w:p w14:paraId="61C1CB6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1.离子浓度大小比较中的“三个守恒”规律</w:t>
      </w:r>
    </w:p>
    <w:p w14:paraId="62A42DF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(1)元素质量守恒</w:t>
      </w:r>
    </w:p>
    <w:p w14:paraId="4F85366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在电解质溶液中,由于某些离子发生水解或电离,离子的存在形式发生了变化。就该离子所含的某种元素来说,其质量在变化前后是守恒的,即元素质量守恒。</w:t>
      </w:r>
    </w:p>
    <w:p w14:paraId="4483D73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(2)电荷守恒</w:t>
      </w:r>
    </w:p>
    <w:p w14:paraId="10E3563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指电解质溶液中,阳离子所带电荷总数与阴离子所带电荷总数相等,即溶液呈电中性。</w:t>
      </w:r>
    </w:p>
    <w:p w14:paraId="7C6FF0B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(3)质子守恒</w:t>
      </w:r>
    </w:p>
    <w:p w14:paraId="6D71BFA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指得到的质子(H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)数等于失去的质子(H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)数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3FD1F4D5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74AA6BC3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(1)外界条件对盐水解程度的大小起决定作用                            (     )</w:t>
      </w:r>
    </w:p>
    <w:p w14:paraId="48F5169E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(2)影响盐类水解的因素有温度、浓度、压强等                          (    )</w:t>
      </w:r>
    </w:p>
    <w:p w14:paraId="7D71921F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(3)能水解的盐的浓度越低，水解程度越大，溶液的酸碱性越强            (    )</w:t>
      </w:r>
    </w:p>
    <w:p w14:paraId="08FFB097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(4)盐溶液显酸碱性，一定是由水解引起的                              (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426581D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(5)水解平衡右移，盐的离子的水解程度一定增大                        (    )</w:t>
      </w:r>
    </w:p>
    <w:p w14:paraId="5E0F2068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都能促进水的电离                               (    )</w:t>
      </w:r>
    </w:p>
    <w:p w14:paraId="055B27C0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溶液加水稀释，促进水的电离，溶液的碱性增强                (    )</w:t>
      </w:r>
    </w:p>
    <w:p w14:paraId="1510AEC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D6A6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38C5B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252E4BC8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21104A"/>
    <w:rsid w:val="0006608B"/>
    <w:rsid w:val="000E58C2"/>
    <w:rsid w:val="0021104A"/>
    <w:rsid w:val="00777B3F"/>
    <w:rsid w:val="00C73CED"/>
    <w:rsid w:val="027358DC"/>
    <w:rsid w:val="13C53BE0"/>
    <w:rsid w:val="2B577AE4"/>
    <w:rsid w:val="2ED31913"/>
    <w:rsid w:val="30670A35"/>
    <w:rsid w:val="354836DC"/>
    <w:rsid w:val="3782419F"/>
    <w:rsid w:val="3D682430"/>
    <w:rsid w:val="42B9680C"/>
    <w:rsid w:val="518179C1"/>
    <w:rsid w:val="59680C56"/>
    <w:rsid w:val="5A124860"/>
    <w:rsid w:val="5CA61513"/>
    <w:rsid w:val="600D6992"/>
    <w:rsid w:val="68396595"/>
    <w:rsid w:val="6AB32E4C"/>
    <w:rsid w:val="70892E99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1197</Words>
  <Characters>1469</Characters>
  <Lines>54</Lines>
  <Paragraphs>69</Paragraphs>
  <TotalTime>0</TotalTime>
  <ScaleCrop>false</ScaleCrop>
  <LinksUpToDate>false</LinksUpToDate>
  <CharactersWithSpaces>1921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